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Dear Sushi XYZ,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Thank you so much for donating __________. Given your help, we were able to raise over $4,000 for our kids program! This money will provide children in the Gorge with new gear, easy storage and access, and dedicated coaching to advance their skills to provide continued access for the kids.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With an estimated 3,000 people in attendance throughout the weekend, Beach Bash was a huge success! Friday night, people were on their feet and dancing as Dirty Revival rocked the Waterfront Park. The concert attracted many around the area and we were able to raise even more money through generous donations, food and drinks from our vendors.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Saturday and Sunday we moved to the Event Site to enjoy local bands, The Ultronz and Soul Profit, more food vendors, and of course demos out on the water. Families were able to interact with paddle boarding, windsurfing and foil demos. American Windsurfing Tour entertained spectators watching the competitions and those who participated throughout the weekend. CGWA also gained 44 new members, and are excited to add them to the team!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Thank YOU for helping make this weekend possible for everyone! We couldn’t of done this without your generous donation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Sincerely,</w:t>
      </w:r>
    </w:p>
    <w:p w:rsidR="00000000" w:rsidDel="00000000" w:rsidP="00000000" w:rsidRDefault="00000000" w:rsidRPr="00000000">
      <w:pPr>
        <w:ind w:left="0" w:firstLine="0"/>
        <w:contextualSpacing w:val="0"/>
      </w:pPr>
      <w:r w:rsidDel="00000000" w:rsidR="00000000" w:rsidRPr="00000000">
        <w:rPr>
          <w:rtl w:val="0"/>
        </w:rPr>
        <w:t xml:space="preserve">CGWA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